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color w:val="2F3D3A"/>
        </w:rPr>
        <w:t xml:space="preserve">REI Handoff — PGY-2</w:t>
      </w:r>
    </w:p>
    <w:p>
      <w:pPr>
        <w:spacing w:after="240"/>
      </w:pPr>
      <w:r>
        <w:rPr>
          <w:i/>
          <w:iCs/>
          <w:color w:val="6F8F88"/>
        </w:rPr>
        <w:t xml:space="preserve">Compiled by Jasmine Arrington-Okoreeh, MD</w:t>
      </w:r>
    </w:p>
    <w:p>
      <w:pPr>
        <w:pStyle w:val="Heading2"/>
      </w:pPr>
      <w:r>
        <w:rPr>
          <w:color w:val="2F3D3A"/>
        </w:rPr>
        <w:t xml:space="preserve">Week at a Glance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Monday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Tuesday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Wednesday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Thursday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Friday</w:t>
            </w:r>
          </w:p>
        </w:tc>
      </w:tr>
      <w:tr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AM: Post-call · PM: Post-call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AM: Monitoring / Procedures · PM: Clinic or OR (or both)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AM: Didactics · PM: Clinic PM, usu. Virtual vs REI 1J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AM: Monitoring / Procedures · PM: Clinic or OR. 4 PM Fellow Education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AM: Monitoring / Procedures · PM: Usually off or OR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color w:val="2F3D3A"/>
        </w:rPr>
        <w:t xml:space="preserve">Key People</w:t>
      </w:r>
    </w:p>
    <w:p>
      <w:pPr>
        <w:spacing w:after="40"/>
      </w:pPr>
      <w:r>
        <w:rPr>
          <w:b/>
          <w:bCs/>
        </w:rPr>
        <w:t xml:space="preserve">Dr. Manvelyan</w:t>
      </w:r>
      <w:r>
        <w:t xml:space="preserve"> (REI Attending)</w:t>
      </w:r>
    </w:p>
    <w:p>
      <w:pPr>
        <w:spacing w:after="80"/>
      </w:pPr>
      <w:r>
        <w:t xml:space="preserve">1–2 OR days/week (mostly HSC, sometimes laparoscopy). Email her your end-of-block REI PPT topic for approval before starting research.</w:t>
      </w:r>
    </w:p>
    <w:p>
      <w:pPr>
        <w:spacing w:after="40"/>
      </w:pPr>
      <w:r>
        <w:rPr>
          <w:b/>
          <w:bCs/>
        </w:rPr>
        <w:t xml:space="preserve">Dr. Julia Woodward</w:t>
      </w:r>
      <w:r>
        <w:t xml:space="preserve"> (REI Psychologist)</w:t>
      </w:r>
    </w:p>
    <w:p>
      <w:pPr>
        <w:spacing w:after="80"/>
      </w:pPr>
      <w:r>
        <w:t xml:space="preserve">You have the opportunity to shadow her during this block — highly recommend.</w:t>
      </w:r>
    </w:p>
    <w:p>
      <w:pPr>
        <w:pStyle w:val="Heading2"/>
      </w:pPr>
      <w:r>
        <w:rPr>
          <w:color w:val="2F3D3A"/>
        </w:rPr>
        <w:t xml:space="preserve">Location</w:t>
      </w:r>
    </w:p>
    <w:p>
      <w:r>
        <w:rPr>
          <w:b/>
          <w:bCs/>
          <w:i w:val="false"/>
          <w:iCs w:val="false"/>
        </w:rPr>
        <w:t xml:space="preserve">Address: </w:t>
      </w:r>
      <w:r>
        <w:t xml:space="preserve">Duke Arringdon, 2nd Floor, 5601 Arringdon Park Dr Suite 410, Morrisville, NC 27560</w:t>
      </w:r>
    </w:p>
    <w:p>
      <w:r>
        <w:rPr>
          <w:b/>
          <w:bCs/>
          <w:i w:val="false"/>
          <w:iCs w:val="false"/>
        </w:rPr>
        <w:t xml:space="preserve">OR: </w:t>
      </w:r>
      <w:r>
        <w:t xml:space="preserve">Duke Arringdon Ambulatory Surgical Center (AASC), 5th floor</w:t>
      </w:r>
    </w:p>
    <w:p>
      <w:pPr>
        <w:pStyle w:val="Heading2"/>
      </w:pPr>
      <w:r>
        <w:rPr>
          <w:color w:val="2F3D3A"/>
        </w:rPr>
        <w:t xml:space="preserve">Schedule</w:t>
      </w:r>
    </w:p>
    <w:p>
      <w:r>
        <w:rPr>
          <w:b/>
          <w:bCs/>
          <w:i w:val="false"/>
          <w:iCs w:val="false"/>
        </w:rPr>
        <w:t xml:space="preserve">Monitoring: </w:t>
      </w:r>
      <w:r>
        <w:t xml:space="preserve">7:30 AM start → monitoring follicles (TVUS) / procedures (IUI / embryo transfer / egg retrievals).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Noon: review labs at noon conference.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1–2 OR days/week — mostly HSC, sometimes laparoscopy with Dr. Manvelyan.</w:t>
      </w:r>
    </w:p>
    <w:p>
      <w:pPr>
        <w:pStyle w:val="Heading2"/>
      </w:pPr>
      <w:r>
        <w:rPr>
          <w:color w:val="2F3D3A"/>
        </w:rPr>
        <w:t xml:space="preserve">Responsibilities — Labs</w:t>
      </w:r>
    </w:p>
    <w:p>
      <w:r>
        <w:t xml:space="preserve">Create plans for patient labs and present at Noon Conference (only on days when not in the OR). Responsible for hCG #2, progesterone, LH, estradiol labs only.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Can just take notes on sticky: patient name, age, and why getting labs (e.g., 35 y/o underwent FET on ***, beta HCG today was ***, double from 2 days ago).</w:t>
      </w:r>
    </w:p>
    <w:p>
      <w:pPr>
        <w:pStyle w:val="Heading2"/>
      </w:pPr>
      <w:r>
        <w:rPr>
          <w:color w:val="2F3D3A"/>
        </w:rPr>
        <w:t xml:space="preserve">HCG Management</w:t>
      </w:r>
    </w:p>
    <w:p>
      <w:r>
        <w:t xml:space="preserve">List patient meds and give plan based on lab findings.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second HCG and appropriate rise (double every 2 days) → OB ultrasound at 6–7 weeks.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hx ectopic, anticoagulation, or RPL → OB U/S at 5 weeks.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inappropriate HCG rise → repeat HCG in 2 days (if going into weekend, repeat in 4 days).</w:t>
      </w:r>
    </w:p>
    <w:p>
      <w:r>
        <w:rPr>
          <w:b/>
          <w:bCs/>
          <w:i w:val="false"/>
          <w:iCs w:val="false"/>
        </w:rPr>
        <w:t xml:space="preserve">For IVF </w:t>
      </w:r>
      <w:r>
        <w:t xml:space="preserve">(April 2026 update: did not need to present these):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2w5d pregnant at day of transfer of embryo (even if embryo growth until day 7, because embryos are held to day 5 criteria to be appropriate for implantation).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Power statement: </w:t>
      </w:r>
      <w:r>
        <w:t xml:space="preserve">include blastocyst status (e.g., diploid, if was programed).</w:t>
      </w:r>
    </w:p>
    <w:p>
      <w:pPr>
        <w:spacing w:after="80" w:before="80"/>
      </w:pPr>
      <w:r>
        <w:rPr>
          <w:b/>
          <w:bCs/>
          <w:i w:val="false"/>
          <w:iCs w:val="false"/>
        </w:rPr>
        <w:t xml:space="preserve">Tip: </w:t>
      </w:r>
      <w:r>
        <w:t xml:space="preserve">Get the Ferring app on your phone (free). Use to determine gestational age for IUI.</w:t>
      </w:r>
    </w:p>
    <w:p>
      <w:pPr>
        <w:pStyle w:val="Heading2"/>
      </w:pPr>
      <w:r>
        <w:rPr>
          <w:color w:val="2F3D3A"/>
        </w:rPr>
        <w:t xml:space="preserve">Estradiol Labs</w:t>
      </w:r>
    </w:p>
    <w:p>
      <w:r>
        <w:t xml:space="preserve">Common for oncofertility.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3 days after egg retrieval, assess estradiol. If estradiol &gt;250 → restart letrozole.</w:t>
      </w:r>
    </w:p>
    <w:p>
      <w:pPr>
        <w:pStyle w:val="Heading2"/>
      </w:pPr>
      <w:r>
        <w:rPr>
          <w:color w:val="2F3D3A"/>
        </w:rPr>
        <w:t xml:space="preserve">Progesterone Labs</w:t>
      </w:r>
    </w:p>
    <w:p>
      <w:r>
        <w:t xml:space="preserve">Commonly used to determine if a patient has ovulated.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Progesterone &gt;3 indicates ovulation — don’t start cycle.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Want progesterone &lt;1.5 for FET to initiate estrogen.</w:t>
      </w:r>
    </w:p>
    <w:p>
      <w:pPr>
        <w:pStyle w:val="Heading2"/>
      </w:pPr>
      <w:r>
        <w:rPr>
          <w:color w:val="2F3D3A"/>
        </w:rPr>
        <w:t xml:space="preserve">End-of-Block REI Presentation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30–45 min PPT presentation.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Email topic to Dr. Manvelyan for approval prior to starting research.</w:t>
      </w:r>
    </w:p>
    <w:p>
      <w:pPr>
        <w:pStyle w:val="Heading2"/>
      </w:pPr>
      <w:r>
        <w:rPr>
          <w:color w:val="2F3D3A"/>
        </w:rPr>
        <w:t xml:space="preserve">IVF Basics (by Matt Rohn)</w:t>
      </w:r>
    </w:p>
    <w:p>
      <w:r>
        <w:rPr>
          <w:b/>
          <w:bCs/>
          <w:i w:val="false"/>
          <w:iCs w:val="false"/>
        </w:rPr>
        <w:t xml:space="preserve">Baseline visit: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Ultrasound: </w:t>
      </w:r>
      <w:r>
        <w:t xml:space="preserve">antral follicle count (AFC) — estimate of follicles you hope to stimulate. Evaluate for cysts or follicles that may interfere with stimulation.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Lab — Estradiol (E2): </w:t>
      </w:r>
      <w:r>
        <w:t xml:space="preserve">ensure no E2-producing follicles that may interfere with stimulation.</w:t>
      </w:r>
    </w:p>
    <w:p>
      <w:r>
        <w:rPr>
          <w:b/>
          <w:bCs/>
          <w:i w:val="false"/>
          <w:iCs w:val="false"/>
        </w:rPr>
        <w:t xml:space="preserve">Monitoring visits: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Ultrasound: </w:t>
      </w:r>
      <w:r>
        <w:t xml:space="preserve">count follicles and measure size. Goal: as many follicles ≥ 14 mm (ideally 18–20 mm) but &lt;24 mm.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Lab — Estradiol (E2): </w:t>
      </w:r>
      <w:r>
        <w:t xml:space="preserve">goal: E2 should double over 2 days. Mature follicles make ~200–400 pg/mL.</w:t>
      </w:r>
    </w:p>
    <w:p>
      <w:r>
        <w:rPr>
          <w:b/>
          <w:bCs/>
          <w:i w:val="false"/>
          <w:iCs w:val="false"/>
        </w:rPr>
        <w:t xml:space="preserve">Trigger </w:t>
      </w:r>
      <w:r>
        <w:t xml:space="preserve">— stimulates / induces LH surge to trigger ovulation, resumption of meiosis.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hCG </w:t>
      </w:r>
      <w:r>
        <w:t xml:space="preserve">(Ovidrel or Pregnyl) — indications: low concern for OHSS; Lupron trigger not an option; hypothalamic or pituitary dysfunction (wouldn’t respond to Lupron trigger).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Lupron </w:t>
      </w:r>
      <w:r>
        <w:t xml:space="preserve">— stimulates endogenous LH release → ovulation. Needs an intact HPO axis. Indications: concern for OHSS (high E2, many follicles).</w:t>
      </w:r>
    </w:p>
    <w:p>
      <w:r>
        <w:rPr>
          <w:b/>
          <w:bCs/>
          <w:i w:val="false"/>
          <w:iCs w:val="false"/>
        </w:rPr>
        <w:t xml:space="preserve">Timeline after trigger: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Lupron labs 12 hr after trigger </w:t>
      </w:r>
      <w:r>
        <w:t xml:space="preserve">(to ensure response): LH &gt;20, progesterone &gt;4. If no response → consider hCG trigger (cancel if high risk for OHSS).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Transvaginal oocyte retrieval (TVOR) 36 hr after trigger.</w:t>
      </w:r>
    </w:p>
    <w:p>
      <w:r>
        <w:rPr>
          <w:b/>
          <w:bCs/>
          <w:i w:val="false"/>
          <w:iCs w:val="false"/>
        </w:rPr>
        <w:t xml:space="preserve">Stimulation meds </w:t>
      </w:r>
      <w:r>
        <w:t xml:space="preserve">(stimulate follicles to grow). Choose initial dose based on age, AMH, AFC; titrate based on response: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FSH </w:t>
      </w:r>
      <w:r>
        <w:t xml:space="preserve">— Gonal or Follistim.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FSH/LH combo (hMG) </w:t>
      </w:r>
      <w:r>
        <w:t xml:space="preserve">— Menopur.</w:t>
      </w:r>
    </w:p>
    <w:p>
      <w:r>
        <w:rPr>
          <w:b/>
          <w:bCs/>
          <w:i w:val="false"/>
          <w:iCs w:val="false"/>
        </w:rPr>
        <w:t xml:space="preserve">Surge prevention </w:t>
      </w:r>
      <w:r>
        <w:t xml:space="preserve">— prevents premature endogenous LH surge so you can continue stimulating follicles without losing them to ovulation before retrieval: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GnRH antagonist </w:t>
      </w:r>
      <w:r>
        <w:t xml:space="preserve">— competitively binds to GnRH receptor in pituitary.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Provera </w:t>
      </w:r>
      <w:r>
        <w:t xml:space="preserve">— negative feedback on hypothalamus to decrease GnRH pulse frequency.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Lupron “flare” </w:t>
      </w:r>
      <w:r>
        <w:t xml:space="preserve">— short-term: release of gonadotropins (may give follicles an initial “boost”). Long-term: downregulation of GnRH receptor.</w:t>
      </w:r>
    </w:p>
    <w:p>
      <w:pPr>
        <w:pStyle w:val="Heading2"/>
      </w:pPr>
      <w:r>
        <w:rPr>
          <w:color w:val="2F3D3A"/>
        </w:rPr>
        <w:t xml:space="preserve">Swing Weekend Coverage</w:t>
      </w:r>
    </w:p>
    <w:p>
      <w:pPr>
        <w:spacing w:after="60"/>
      </w:pPr>
      <w:r>
        <w:rPr>
          <w:b w:val="false"/>
          <w:bCs w:val="false"/>
          <w:i/>
          <w:iCs/>
        </w:rPr>
        <w:t xml:space="preserve">Shift starts 5 PM both Sat and Sun.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Saturday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AF8F5"/>
                <w:sz w:val="20"/>
                <w:szCs w:val="20"/>
              </w:rPr>
              <w:t xml:space="preserve">Sunday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Rounding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Gyn Onc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None</w:t>
            </w:r>
          </w:p>
        </w:tc>
      </w:tr>
      <w:tr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Sign Out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7 AM with oncoming PGY-2 / fellow in 9300 work room. Via Phone: 5:30 AM Antepartum.</w:t>
            </w:r>
          </w:p>
        </w:tc>
        <w:tc>
          <w:tcPr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sz w:val="20"/>
                <w:szCs w:val="20"/>
              </w:rPr>
              <w:t xml:space="preserve">Via Phone: 5:30 AM Antepartum · 5:40 AM Gyn Onc</w:t>
            </w:r>
          </w:p>
        </w:tc>
      </w:tr>
    </w:tbl>
    <w:p>
      <w:r>
        <w:rPr>
          <w:b/>
          <w:bCs/>
          <w:i w:val="false"/>
          <w:iCs w:val="false"/>
        </w:rPr>
        <w:t xml:space="preserve">Generally responsible for: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C-sections, repairs that go to the OR. (If section while Onc rounding or signing out, Chief will do it.)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Call into Gyn Onc and Antepartum pagers (may also call into Benign/Urogyn pagers based on your Chief).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Write note if anything major happens overnight.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Perform BPPs needed for Antepartum.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Round Gyn Onc — sign note to attending, not fellow.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See ED consults (independently or with Chief, depending).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Leveled OR cases (pending no sections).</w:t>
      </w:r>
    </w:p>
    <w:p>
      <w:r>
        <w:rPr>
          <w:b/>
          <w:bCs/>
          <w:i w:val="false"/>
          <w:iCs w:val="false"/>
        </w:rPr>
        <w:t xml:space="preserve">Tips: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At beginning of shift, text oncoming Gyn Onc and Antepartum teams.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Gyn Onc: </w:t>
      </w:r>
      <w:r>
        <w:t xml:space="preserve">if you foresee you’ll be unable to round, let them know by 5:00 AM.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Antepartum: </w:t>
      </w:r>
      <w:r>
        <w:t xml:space="preserve">coordinate time to call for sign out.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Even if you hold pagers for Benign/Urogyn, your Chief will round on them.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Look at ultrasounds/imaging for all consults. Great opportunity to get more comfortable with reading imaging.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Develop a spiel for common consults — PUL and AUB.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99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40" w:before="0" w:line="260"/>
    </w:pPr>
    <w:rPr>
      <w:rFonts w:ascii="Calibri" w:cs="Calibri" w:eastAsia="Calibri" w:hAnsi="Calibri"/>
      <w:b/>
      <w:bCs/>
      <w:color w:val="2F3D3A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60" w:before="220" w:line="260"/>
    </w:pPr>
    <w:rPr>
      <w:rFonts w:ascii="Calibri" w:cs="Calibri" w:eastAsia="Calibri" w:hAnsi="Calibri"/>
      <w:b/>
      <w:bCs/>
      <w:color w:val="2F3D3A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40" w:before="160" w:line="260"/>
    </w:pPr>
    <w:rPr>
      <w:rFonts w:ascii="Calibri" w:cs="Calibri" w:eastAsia="Calibri" w:hAnsi="Calibri"/>
      <w:b/>
      <w:bCs/>
      <w:color w:val="2F3D3A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pPr>
      <w:spacing w:after="60" w:line="260"/>
    </w:pPr>
    <w:rPr>
      <w:rFonts w:ascii="Calibri" w:cs="Calibri" w:eastAsia="Calibri" w:hAnsi="Calibri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 Handoff — PGY-2</dc:title>
  <dc:creator>Jasmine Arrington-Okoreeh</dc:creator>
  <cp:lastModifiedBy>Un-named</cp:lastModifiedBy>
  <cp:revision>1</cp:revision>
  <dcterms:created xsi:type="dcterms:W3CDTF">2026-06-25T21:42:51.270Z</dcterms:created>
  <dcterms:modified xsi:type="dcterms:W3CDTF">2026-06-25T21:42:51.270Z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