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GYN Specialties Handoff — PGY-2</w:t>
      </w:r>
    </w:p>
    <w:p>
      <w:pPr>
        <w:spacing w:after="240"/>
      </w:pPr>
      <w:r>
        <w:rPr>
          <w:i/>
          <w:iCs/>
          <w:color w:val="6F8F88"/>
        </w:rPr>
        <w:t xml:space="preserve">Compiled by Jasmine Arrington-Okoreeh, MD</w:t>
      </w:r>
    </w:p>
    <w:p>
      <w:pPr>
        <w:pStyle w:val="Heading2"/>
      </w:pPr>
      <w:r>
        <w:rPr>
          <w:color w:val="2F3D3A"/>
        </w:rPr>
        <w:t xml:space="preserve">Week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Monday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Tuesday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Wednesday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Thursday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Friday</w:t>
            </w:r>
          </w:p>
        </w:tc>
      </w:tr>
      <w:tr>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AM: DCHD · PM: DCHD</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AM: Menopause · PM: Menopause</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AM: Didactics · PM: PAG</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AM: ONC · PM: ONC</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AM: 1J · PM: 1J (Onc from 1/2026 onward)</w:t>
            </w:r>
          </w:p>
        </w:tc>
      </w:tr>
    </w:tbl>
    <w:p>
      <w:pPr>
        <w:spacing w:after="120"/>
      </w:pPr>
      <w:r>
        <w:t xml:space="preserve"/>
      </w:r>
    </w:p>
    <w:p>
      <w:pPr>
        <w:pStyle w:val="Heading2"/>
      </w:pPr>
      <w:r>
        <w:rPr>
          <w:color w:val="2F3D3A"/>
        </w:rPr>
        <w:t xml:space="preserve">Key People</w:t>
      </w:r>
    </w:p>
    <w:p>
      <w:pPr>
        <w:spacing w:after="40"/>
      </w:pPr>
      <w:r>
        <w:rPr>
          <w:b/>
          <w:bCs/>
        </w:rPr>
        <w:t xml:space="preserve">Dr. Jen Howell</w:t>
      </w:r>
      <w:r>
        <w:t xml:space="preserve"> (Menopause Clinic attending (Tuesdays))</w:t>
      </w:r>
    </w:p>
    <w:p>
      <w:pPr>
        <w:spacing w:after="80"/>
      </w:pPr>
      <w:r>
        <w:t xml:space="preserve">DWHA Arringdon clinic on 4th floor, first patient usually 8 AM. At the beginning of the rotation, sends out expectations including suggested readings from TST on PAG.</w:t>
      </w:r>
    </w:p>
    <w:p>
      <w:pPr>
        <w:spacing w:after="40"/>
      </w:pPr>
      <w:r>
        <w:rPr>
          <w:b/>
          <w:bCs/>
        </w:rPr>
        <w:t xml:space="preserve">Dr. Tara Streich-Tilles</w:t>
      </w:r>
      <w:r>
        <w:t xml:space="preserve"> (PAGS (PM) attending (Wednesdays))</w:t>
      </w:r>
    </w:p>
    <w:p>
      <w:pPr>
        <w:spacing w:after="80"/>
      </w:pPr>
      <w:r>
        <w:t xml:space="preserve">Attending preps notes — just review prior to clinic. Location alternates each week between Arringdon Fertility Center and Brier Creek. Configure your schedule for Streich-Tilles to see where she is more easily each week.</w:t>
      </w:r>
    </w:p>
    <w:p>
      <w:pPr>
        <w:spacing w:after="40"/>
      </w:pPr>
      <w:r>
        <w:rPr>
          <w:b/>
          <w:bCs/>
        </w:rPr>
        <w:t xml:space="preserve">Dr. Davidson</w:t>
      </w:r>
      <w:r>
        <w:t xml:space="preserve"> (ONC PM attending (Thursdays))</w:t>
      </w:r>
    </w:p>
    <w:p>
      <w:pPr>
        <w:spacing w:after="80"/>
      </w:pPr>
      <w:r>
        <w:t xml:space="preserve">You’ll see mostly new patients. Dr. Davidson reviews patients with you in the morning and before you go see a patient to help guide you on questions they might ask.</w:t>
      </w:r>
    </w:p>
    <w:p>
      <w:pPr>
        <w:pStyle w:val="Heading2"/>
      </w:pPr>
      <w:r>
        <w:rPr>
          <w:color w:val="2F3D3A"/>
        </w:rPr>
        <w:t xml:space="preserve">Monday — DCHD</w:t>
      </w:r>
    </w:p>
    <w:p>
      <w:r>
        <w:t xml:space="preserve">Similar to PGY-1 experience.</w:t>
      </w:r>
    </w:p>
    <w:p>
      <w:pPr>
        <w:pStyle w:val="Heading2"/>
      </w:pPr>
      <w:r>
        <w:rPr>
          <w:color w:val="2F3D3A"/>
        </w:rPr>
        <w:t xml:space="preserve">Tuesday — Menopause Clinic</w:t>
      </w:r>
    </w:p>
    <w:p>
      <w:pPr>
        <w:spacing w:after="60"/>
      </w:pPr>
      <w:r>
        <w:rPr>
          <w:b w:val="false"/>
          <w:bCs w:val="false"/>
          <w:i/>
          <w:iCs/>
        </w:rPr>
        <w:t xml:space="preserve">With Dr. Jen Howell. DWHA Arringdon clinic on 4th floor. First patient usually 8 AM.</w:t>
      </w:r>
    </w:p>
    <w:p>
      <w:pPr>
        <w:pStyle w:val="ListParagraph"/>
        <w:numPr>
          <w:ilvl w:val="0"/>
          <w:numId w:val="2"/>
        </w:numPr>
        <w:spacing w:after="30" w:before="0" w:line="252"/>
      </w:pPr>
      <w:r>
        <w:t xml:space="preserve">No need to prep.</w:t>
      </w:r>
    </w:p>
    <w:p>
      <w:pPr>
        <w:pStyle w:val="ListParagraph"/>
        <w:numPr>
          <w:ilvl w:val="0"/>
          <w:numId w:val="2"/>
        </w:numPr>
        <w:spacing w:after="30" w:before="0" w:line="252"/>
      </w:pPr>
      <w:r>
        <w:rPr>
          <w:b/>
          <w:bCs/>
          <w:i w:val="false"/>
          <w:iCs w:val="false"/>
        </w:rPr>
        <w:t xml:space="preserve">Clinic Template dot phrase: </w:t>
      </w:r>
      <w:r>
        <w:rPr>
          <w:rFonts w:ascii="Consolas" w:cs="Consolas" w:eastAsia="Consolas" w:hAnsi="Consolas"/>
          <w:b w:val="false"/>
          <w:bCs w:val="false"/>
          <w:i w:val="false"/>
          <w:iCs w:val="false"/>
        </w:rPr>
        <w:t xml:space="preserve">.HCKDWHAMenopause</w:t>
      </w:r>
    </w:p>
    <w:p>
      <w:pPr>
        <w:pStyle w:val="ListParagraph"/>
        <w:numPr>
          <w:ilvl w:val="0"/>
          <w:numId w:val="2"/>
        </w:numPr>
        <w:spacing w:after="30" w:before="0" w:line="252"/>
      </w:pPr>
      <w:r>
        <w:t xml:space="preserve">Modules on Duke Ob/Gyn Canvas helpful to do.</w:t>
      </w:r>
    </w:p>
    <w:p>
      <w:r>
        <w:rPr>
          <w:b/>
          <w:bCs/>
          <w:i w:val="false"/>
          <w:iCs w:val="false"/>
        </w:rPr>
        <w:t xml:space="preserve">Pro Tips — save these dot phrases for patient education </w:t>
      </w:r>
      <w:r>
        <w:t xml:space="preserve">(under Jasmine Arrington):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.Menonotesbioidentical</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.MenonotesGSM</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.Menonoteshormonetherapy</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.Menonotesmisinformationhormonetherapy</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.Menonotesmood</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.MenonotesnonhormonetreatmentsforVSM</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.Menonotesosteoporosis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.Menonotessexualdysfunction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.Menonotesworkplace</w:t>
      </w:r>
    </w:p>
    <w:p>
      <w:pPr>
        <w:spacing w:after="80" w:before="100"/>
      </w:pPr>
      <w:r>
        <w:t xml:space="preserve">You can read the NAMS 2023 statement if you learn best by reading instead of watching the modules (or in addition). Background and knowledge helps you counsel patients on your own pretty early on and build some independence.</w:t>
      </w:r>
    </w:p>
    <w:p>
      <w:pPr>
        <w:pStyle w:val="Heading2"/>
      </w:pPr>
      <w:r>
        <w:rPr>
          <w:color w:val="2F3D3A"/>
        </w:rPr>
        <w:t xml:space="preserve">Wednesday — PAGS (PM)</w:t>
      </w:r>
    </w:p>
    <w:p>
      <w:pPr>
        <w:spacing w:after="60"/>
      </w:pPr>
      <w:r>
        <w:rPr>
          <w:b w:val="false"/>
          <w:bCs w:val="false"/>
          <w:i/>
          <w:iCs/>
        </w:rPr>
        <w:t xml:space="preserve">With Tara Streich-Tilles. Location alternates: Arringdon Fertility Center / Brier Creek.</w:t>
      </w:r>
    </w:p>
    <w:p>
      <w:pPr>
        <w:pStyle w:val="ListParagraph"/>
        <w:numPr>
          <w:ilvl w:val="0"/>
          <w:numId w:val="2"/>
        </w:numPr>
        <w:spacing w:after="30" w:before="0" w:line="252"/>
      </w:pPr>
      <w:r>
        <w:t xml:space="preserve">Attending preps notes — just review prior to clinic.</w:t>
      </w:r>
    </w:p>
    <w:p>
      <w:pPr>
        <w:pStyle w:val="ListParagraph"/>
        <w:numPr>
          <w:ilvl w:val="0"/>
          <w:numId w:val="2"/>
        </w:numPr>
        <w:spacing w:after="30" w:before="0" w:line="252"/>
      </w:pPr>
      <w:r>
        <w:rPr>
          <w:b/>
          <w:bCs/>
          <w:i w:val="false"/>
          <w:iCs w:val="false"/>
        </w:rPr>
        <w:t xml:space="preserve">Duke Children's Adolescent Gynecology Creekstone: </w:t>
      </w:r>
      <w:r>
        <w:t xml:space="preserve">4709 Creekstone Dr Suite 300, Durham, NC 27703. Park out front.</w:t>
      </w:r>
    </w:p>
    <w:p>
      <w:pPr>
        <w:pStyle w:val="ListParagraph"/>
        <w:numPr>
          <w:ilvl w:val="0"/>
          <w:numId w:val="2"/>
        </w:numPr>
        <w:spacing w:after="30" w:before="0" w:line="252"/>
      </w:pPr>
      <w:r>
        <w:rPr>
          <w:b/>
          <w:bCs/>
          <w:i w:val="false"/>
          <w:iCs w:val="false"/>
        </w:rPr>
        <w:t xml:space="preserve">Epic Contexts:</w:t>
      </w:r>
    </w:p>
    <w:p>
      <w:pPr>
        <w:pStyle w:val="ListParagraph"/>
        <w:numPr>
          <w:ilvl w:val="1"/>
          <w:numId w:val="2"/>
        </w:numPr>
        <w:spacing w:after="30" w:before="0" w:line="252"/>
      </w:pPr>
      <w:r>
        <w:t xml:space="preserve">Duke Children’s Adolescent GYN Creekstone</w:t>
      </w:r>
    </w:p>
    <w:p>
      <w:pPr>
        <w:pStyle w:val="ListParagraph"/>
        <w:numPr>
          <w:ilvl w:val="1"/>
          <w:numId w:val="2"/>
        </w:numPr>
        <w:spacing w:after="30" w:before="0" w:line="252"/>
      </w:pPr>
      <w:r>
        <w:t xml:space="preserve">Duke Fertility Center Arringdon</w:t>
      </w:r>
    </w:p>
    <w:p>
      <w:pPr>
        <w:spacing w:after="80" w:before="100"/>
      </w:pPr>
      <w:r>
        <w:t xml:space="preserve">At the beginning of the rotation, Dr. Howell sends out expectations, including suggested readings from TST on PAG. These can be very helpful in learning how to work up adolescent patients and can guide your own counseling.</w:t>
      </w:r>
    </w:p>
    <w:p>
      <w:r>
        <w:rPr>
          <w:b/>
          <w:bCs/>
          <w:i w:val="false"/>
          <w:iCs w:val="false"/>
        </w:rPr>
        <w:t xml:space="preserve">Recommended readings </w:t>
      </w:r>
      <w:r>
        <w:t xml:space="preserve">(you’ll see lots of AUB):</w:t>
      </w:r>
    </w:p>
    <w:p>
      <w:pPr>
        <w:pStyle w:val="ListParagraph"/>
        <w:numPr>
          <w:ilvl w:val="0"/>
          <w:numId w:val="2"/>
        </w:numPr>
        <w:spacing w:after="30" w:before="0" w:line="252"/>
      </w:pPr>
      <w:r>
        <w:t xml:space="preserve">ACOG practice bulletins on AUB</w:t>
      </w:r>
    </w:p>
    <w:p>
      <w:pPr>
        <w:pStyle w:val="ListParagraph"/>
        <w:numPr>
          <w:ilvl w:val="0"/>
          <w:numId w:val="2"/>
        </w:numPr>
        <w:spacing w:after="30" w:before="0" w:line="252"/>
      </w:pPr>
      <w:r>
        <w:t xml:space="preserve">Menstrual suppression</w:t>
      </w:r>
    </w:p>
    <w:p>
      <w:pPr>
        <w:pStyle w:val="ListParagraph"/>
        <w:numPr>
          <w:ilvl w:val="0"/>
          <w:numId w:val="2"/>
        </w:numPr>
        <w:spacing w:after="30" w:before="0" w:line="252"/>
      </w:pPr>
      <w:r>
        <w:t xml:space="preserve">Committee opinion #785</w:t>
      </w:r>
    </w:p>
    <w:p>
      <w:pPr>
        <w:pStyle w:val="ListParagraph"/>
        <w:numPr>
          <w:ilvl w:val="0"/>
          <w:numId w:val="2"/>
        </w:numPr>
        <w:spacing w:after="30" w:before="0" w:line="252"/>
      </w:pPr>
      <w:r>
        <w:t xml:space="preserve">AUB associated with ovulatory dysfunction</w:t>
      </w:r>
    </w:p>
    <w:p>
      <w:pPr>
        <w:pStyle w:val="ListParagraph"/>
        <w:numPr>
          <w:ilvl w:val="0"/>
          <w:numId w:val="2"/>
        </w:numPr>
        <w:spacing w:after="30" w:before="0" w:line="252"/>
      </w:pPr>
      <w:r>
        <w:t xml:space="preserve">ACOG CO 817</w:t>
      </w:r>
    </w:p>
    <w:p>
      <w:pPr>
        <w:pStyle w:val="ListParagraph"/>
        <w:numPr>
          <w:ilvl w:val="0"/>
          <w:numId w:val="2"/>
        </w:numPr>
        <w:spacing w:after="30" w:before="0" w:line="252"/>
      </w:pPr>
      <w:r>
        <w:t xml:space="preserve">Creogs over Coffee associated listenings</w:t>
      </w:r>
    </w:p>
    <w:p>
      <w:pPr>
        <w:pStyle w:val="Heading2"/>
      </w:pPr>
      <w:r>
        <w:rPr>
          <w:color w:val="2F3D3A"/>
        </w:rPr>
        <w:t xml:space="preserve">Thursday — ONC PM</w:t>
      </w:r>
    </w:p>
    <w:p>
      <w:pPr>
        <w:spacing w:after="60"/>
      </w:pPr>
      <w:r>
        <w:rPr>
          <w:b w:val="false"/>
          <w:bCs w:val="false"/>
          <w:i/>
          <w:iCs/>
        </w:rPr>
        <w:t xml:space="preserve">Epic Context: Cancer Center Gynecology. Attending: Dr. Davidson.</w:t>
      </w:r>
    </w:p>
    <w:p>
      <w:pPr>
        <w:pStyle w:val="ListParagraph"/>
        <w:numPr>
          <w:ilvl w:val="0"/>
          <w:numId w:val="2"/>
        </w:numPr>
        <w:spacing w:after="30" w:before="0" w:line="252"/>
      </w:pPr>
      <w:r>
        <w:rPr>
          <w:b/>
          <w:bCs/>
          <w:i w:val="false"/>
          <w:iCs w:val="false"/>
        </w:rPr>
        <w:t xml:space="preserve">Prep new patient notes only: </w:t>
      </w:r>
      <w:r>
        <w:rPr>
          <w:rFonts w:ascii="Consolas" w:cs="Consolas" w:eastAsia="Consolas" w:hAnsi="Consolas"/>
          <w:b w:val="false"/>
          <w:bCs w:val="false"/>
          <w:i w:val="false"/>
          <w:iCs w:val="false"/>
        </w:rPr>
        <w:t xml:space="preserve">.gynoncnewoutpatient</w:t>
      </w:r>
    </w:p>
    <w:p>
      <w:r>
        <w:rPr>
          <w:b/>
          <w:bCs/>
          <w:i w:val="false"/>
          <w:iCs w:val="false"/>
        </w:rPr>
        <w:t xml:space="preserve">Commonly used dot phrases:</w:t>
      </w:r>
    </w:p>
    <w:p>
      <w:pPr>
        <w:pStyle w:val="ListParagraph"/>
        <w:numPr>
          <w:ilvl w:val="0"/>
          <w:numId w:val="2"/>
        </w:numPr>
        <w:spacing w:after="30" w:before="0" w:line="252"/>
      </w:pPr>
      <w:r>
        <w:rPr>
          <w:rFonts w:ascii="Consolas" w:cs="Consolas" w:eastAsia="Consolas" w:hAnsi="Consolas"/>
          <w:b w:val="false"/>
          <w:bCs w:val="false"/>
          <w:i w:val="false"/>
          <w:iCs w:val="false"/>
        </w:rPr>
        <w:t xml:space="preserve">.gynoncconsent</w:t>
      </w:r>
    </w:p>
    <w:p>
      <w:pPr>
        <w:pStyle w:val="ListParagraph"/>
        <w:numPr>
          <w:ilvl w:val="0"/>
          <w:numId w:val="2"/>
        </w:numPr>
        <w:spacing w:after="30" w:before="0" w:line="252"/>
      </w:pPr>
      <w:r>
        <w:rPr>
          <w:rFonts w:ascii="Consolas" w:cs="Consolas" w:eastAsia="Consolas" w:hAnsi="Consolas"/>
          <w:b w:val="false"/>
          <w:bCs w:val="false"/>
          <w:i w:val="false"/>
          <w:iCs w:val="false"/>
        </w:rPr>
        <w:t xml:space="preserve">.gynoncsurrisk</w:t>
      </w:r>
    </w:p>
    <w:p>
      <w:r>
        <w:rPr>
          <w:b/>
          <w:bCs/>
          <w:i w:val="false"/>
          <w:iCs w:val="false"/>
        </w:rPr>
        <w:t xml:space="preserve">Pro Tip — read these:</w:t>
      </w:r>
    </w:p>
    <w:p>
      <w:pPr>
        <w:pStyle w:val="ListParagraph"/>
        <w:numPr>
          <w:ilvl w:val="0"/>
          <w:numId w:val="2"/>
        </w:numPr>
        <w:spacing w:after="30" w:before="0" w:line="252"/>
      </w:pPr>
      <w:r>
        <w:t xml:space="preserve">EIN / Grade 1 Endometrial cancer reading on ACOG</w:t>
      </w:r>
    </w:p>
    <w:p>
      <w:pPr>
        <w:pStyle w:val="ListParagraph"/>
        <w:numPr>
          <w:ilvl w:val="0"/>
          <w:numId w:val="2"/>
        </w:numPr>
        <w:spacing w:after="30" w:before="0" w:line="252"/>
      </w:pPr>
      <w:r>
        <w:t xml:space="preserve">ACOG VIN</w:t>
      </w:r>
    </w:p>
    <w:p>
      <w:pPr>
        <w:pStyle w:val="ListParagraph"/>
        <w:numPr>
          <w:ilvl w:val="0"/>
          <w:numId w:val="2"/>
        </w:numPr>
        <w:spacing w:after="30" w:before="0" w:line="252"/>
      </w:pPr>
      <w:r>
        <w:t xml:space="preserve">ACOG adnexal masses</w:t>
      </w:r>
    </w:p>
    <w:p>
      <w:r>
        <w:rPr>
          <w:b/>
          <w:bCs/>
          <w:i w:val="false"/>
          <w:iCs w:val="false"/>
        </w:rPr>
        <w:t xml:space="preserve">Common new-patient visits are essentially SWU visits. To-Do’s:</w:t>
      </w:r>
    </w:p>
    <w:p>
      <w:pPr>
        <w:pStyle w:val="ListParagraph"/>
        <w:numPr>
          <w:ilvl w:val="0"/>
          <w:numId w:val="2"/>
        </w:numPr>
        <w:spacing w:after="30" w:before="0" w:line="252"/>
      </w:pPr>
      <w:r>
        <w:t xml:space="preserve">Consent</w:t>
      </w:r>
    </w:p>
    <w:p>
      <w:pPr>
        <w:pStyle w:val="ListParagraph"/>
        <w:numPr>
          <w:ilvl w:val="0"/>
          <w:numId w:val="2"/>
        </w:numPr>
        <w:spacing w:after="30" w:before="0" w:line="252"/>
      </w:pPr>
      <w:r>
        <w:t xml:space="preserve">Post patient for their case</w:t>
      </w:r>
    </w:p>
    <w:p>
      <w:pPr>
        <w:pStyle w:val="ListParagraph"/>
        <w:numPr>
          <w:ilvl w:val="0"/>
          <w:numId w:val="2"/>
        </w:numPr>
        <w:spacing w:after="30" w:before="0" w:line="252"/>
      </w:pPr>
      <w:r>
        <w:t xml:space="preserve">Pre-op orders</w:t>
      </w:r>
    </w:p>
    <w:p>
      <w:pPr>
        <w:pStyle w:val="ListParagraph"/>
        <w:numPr>
          <w:ilvl w:val="0"/>
          <w:numId w:val="2"/>
        </w:numPr>
        <w:spacing w:after="30" w:before="0" w:line="252"/>
      </w:pPr>
      <w:r>
        <w:t xml:space="preserve">H&amp;P</w:t>
      </w:r>
    </w:p>
    <w:p>
      <w:pPr>
        <w:spacing w:after="80" w:before="100"/>
      </w:pPr>
      <w:r>
        <w:t xml:space="preserve">There is a sheet on the wall with the steps for pre-op to-do’s, including dot phrases and who to send case request to.</w:t>
      </w:r>
    </w:p>
    <w:p>
      <w:pPr>
        <w:pStyle w:val="Heading2"/>
      </w:pPr>
      <w:r>
        <w:rPr>
          <w:color w:val="2F3D3A"/>
        </w:rPr>
        <w:t xml:space="preserve">Friday — 1J</w:t>
      </w:r>
    </w:p>
    <w:p>
      <w:r>
        <w:t xml:space="preserve">Your template or OB Resident B template (they are planning on eliminating having our own template until the day of because of how our schedules change so much, plus to allow for easier scheduling of patients for months ahead).</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GYN Specialties Handoff — PGY-2</dc:title>
  <dc:creator>Jasmine Arrington-Okoreeh</dc:creator>
  <cp:lastModifiedBy>Un-named</cp:lastModifiedBy>
  <cp:revision>1</cp:revision>
  <dcterms:created xsi:type="dcterms:W3CDTF">2026-06-25T21:42:51.294Z</dcterms:created>
  <dcterms:modified xsi:type="dcterms:W3CDTF">2026-06-25T21:42:51.294Z</dcterms:modified>
</cp:coreProperties>
</file>

<file path=docProps/custom.xml><?xml version="1.0" encoding="utf-8"?>
<Properties xmlns="http://schemas.openxmlformats.org/officeDocument/2006/custom-properties" xmlns:vt="http://schemas.openxmlformats.org/officeDocument/2006/docPropsVTypes"/>
</file>